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val="0"/>
        <w:autoSpaceDE w:val="0"/>
        <w:autoSpaceDN w:val="0"/>
        <w:spacing w:before="0" w:after="0"/>
        <w:jc w:val="center"/>
        <w:outlineLvl w:val="0"/>
        <w:rPr>
          <w:rFonts w:hint="eastAsia"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b/>
          <w:sz w:val="32"/>
          <w:szCs w:val="32"/>
          <w:lang w:eastAsia="zh-CN"/>
        </w:rPr>
        <w:t>项目概况及技术要求</w:t>
      </w:r>
    </w:p>
    <w:p>
      <w:pPr>
        <w:overflowPunct w:val="0"/>
        <w:spacing w:line="520" w:lineRule="exact"/>
        <w:ind w:firstLine="240" w:firstLineChars="1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一、项目概况</w:t>
      </w:r>
    </w:p>
    <w:p>
      <w:pPr>
        <w:spacing w:line="360" w:lineRule="auto"/>
        <w:ind w:firstLine="480" w:firstLineChars="200"/>
        <w:rPr>
          <w:rFonts w:hint="eastAsia" w:asciiTheme="minorEastAsia" w:hAnsiTheme="minorEastAsia" w:eastAsiaTheme="minorEastAsia" w:cstheme="minorEastAsia"/>
          <w:color w:val="231F20"/>
          <w:spacing w:val="4"/>
          <w:sz w:val="23"/>
          <w:szCs w:val="23"/>
        </w:rPr>
      </w:pPr>
      <w:r>
        <w:rPr>
          <w:rFonts w:hint="eastAsia" w:asciiTheme="minorEastAsia" w:hAnsiTheme="minorEastAsia" w:eastAsiaTheme="minorEastAsia" w:cstheme="minorEastAsia"/>
          <w:color w:val="000000"/>
          <w:kern w:val="0"/>
          <w:sz w:val="24"/>
          <w:lang w:bidi="ar"/>
        </w:rPr>
        <w:t>南水北调中线河南段防洪影响处理工程（许昌市）共治理河（沟）道11条，治理积水点1处。河（沟）道治理长度共15.45km，其中梯形沟道12.45km、矩形沟道2.80km、箱涵0.2km，新建、重建建筑物52座，其中桥梁2座、涵洞50座。积水点治理工程1处，共开挖沟道821m，其中管涵77m、箱涵221m、盖板涵523m，新建涵洞建筑物1座。工程用地范围涉及长葛市、禹州市，工程总用地819.81亩，其中永久征地338.91亩，临时用地480.9亩。</w:t>
      </w:r>
    </w:p>
    <w:p>
      <w:pPr>
        <w:overflowPunct w:val="0"/>
        <w:spacing w:line="520" w:lineRule="exact"/>
        <w:ind w:right="73" w:rightChars="35" w:firstLine="240" w:firstLineChars="1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二、采购内容及成果要求</w:t>
      </w:r>
    </w:p>
    <w:p>
      <w:pPr>
        <w:spacing w:before="156" w:line="353" w:lineRule="auto"/>
        <w:ind w:left="39" w:right="96" w:firstLine="481"/>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（1）采购内容：</w:t>
      </w:r>
    </w:p>
    <w:tbl>
      <w:tblPr>
        <w:tblStyle w:val="6"/>
        <w:tblW w:w="8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8"/>
        <w:gridCol w:w="956"/>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58" w:type="dxa"/>
            <w:vAlign w:val="center"/>
          </w:tcPr>
          <w:p>
            <w:pPr>
              <w:widowControl/>
              <w:spacing w:line="300" w:lineRule="exact"/>
              <w:jc w:val="center"/>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采购内容</w:t>
            </w:r>
          </w:p>
        </w:tc>
        <w:tc>
          <w:tcPr>
            <w:tcW w:w="956" w:type="dxa"/>
            <w:vAlign w:val="center"/>
          </w:tcPr>
          <w:p>
            <w:pPr>
              <w:widowControl/>
              <w:spacing w:line="300" w:lineRule="exact"/>
              <w:jc w:val="center"/>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数量</w:t>
            </w:r>
          </w:p>
        </w:tc>
        <w:tc>
          <w:tcPr>
            <w:tcW w:w="5225" w:type="dxa"/>
            <w:vAlign w:val="center"/>
          </w:tcPr>
          <w:p>
            <w:pPr>
              <w:widowControl/>
              <w:spacing w:line="300" w:lineRule="exact"/>
              <w:jc w:val="center"/>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jc w:val="center"/>
        </w:trPr>
        <w:tc>
          <w:tcPr>
            <w:tcW w:w="2058" w:type="dxa"/>
            <w:vAlign w:val="center"/>
          </w:tcPr>
          <w:p>
            <w:pPr>
              <w:widowControl/>
              <w:spacing w:line="300" w:lineRule="exact"/>
              <w:jc w:val="left"/>
              <w:rPr>
                <w:rFonts w:hint="eastAsia" w:asciiTheme="minorEastAsia" w:hAnsiTheme="minorEastAsia" w:eastAsiaTheme="minorEastAsia" w:cstheme="minorEastAsia"/>
                <w:color w:val="auto"/>
                <w:kern w:val="0"/>
                <w:sz w:val="24"/>
                <w:szCs w:val="22"/>
              </w:rPr>
            </w:pPr>
            <w:r>
              <w:rPr>
                <w:rFonts w:hint="eastAsia" w:asciiTheme="minorEastAsia" w:hAnsiTheme="minorEastAsia" w:eastAsiaTheme="minorEastAsia" w:cstheme="minorEastAsia"/>
                <w:color w:val="auto"/>
                <w:kern w:val="0"/>
                <w:sz w:val="24"/>
                <w:lang w:bidi="ar"/>
              </w:rPr>
              <w:t>南水北调中线河南段防洪影响处理工程（许昌市）压覆矿产资源安全性论证项目</w:t>
            </w:r>
          </w:p>
        </w:tc>
        <w:tc>
          <w:tcPr>
            <w:tcW w:w="956" w:type="dxa"/>
            <w:vAlign w:val="center"/>
          </w:tcPr>
          <w:p>
            <w:pPr>
              <w:widowControl/>
              <w:spacing w:line="300" w:lineRule="exact"/>
              <w:jc w:val="center"/>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1</w:t>
            </w:r>
          </w:p>
        </w:tc>
        <w:tc>
          <w:tcPr>
            <w:tcW w:w="5225" w:type="dxa"/>
            <w:vAlign w:val="center"/>
          </w:tcPr>
          <w:p>
            <w:pPr>
              <w:widowControl/>
              <w:numPr>
                <w:ilvl w:val="0"/>
                <w:numId w:val="1"/>
              </w:numPr>
              <w:spacing w:line="300" w:lineRule="exact"/>
              <w:jc w:val="left"/>
              <w:rPr>
                <w:rFonts w:hint="eastAsia"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现场调查，收集相关资料，落实矿权性质；</w:t>
            </w:r>
          </w:p>
          <w:p>
            <w:pPr>
              <w:widowControl/>
              <w:numPr>
                <w:ilvl w:val="0"/>
                <w:numId w:val="1"/>
              </w:numPr>
              <w:spacing w:line="300" w:lineRule="exact"/>
              <w:jc w:val="left"/>
              <w:rPr>
                <w:rFonts w:hint="eastAsia"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根据甲方提供的工程布置方案、确定的被压覆资源及矿权，按照国家有关法律法规、规程规范及标准等要求，对项目的安全性进行论证；</w:t>
            </w:r>
          </w:p>
          <w:p>
            <w:pPr>
              <w:widowControl/>
              <w:numPr>
                <w:ilvl w:val="0"/>
                <w:numId w:val="1"/>
              </w:numPr>
              <w:spacing w:line="300" w:lineRule="exact"/>
              <w:jc w:val="left"/>
              <w:rPr>
                <w:rFonts w:hint="eastAsia"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开展分析评估及报告编制工作，按时向我方提供经评审通过后的正式报告及资料；</w:t>
            </w:r>
          </w:p>
          <w:p>
            <w:pPr>
              <w:widowControl/>
              <w:numPr>
                <w:ilvl w:val="0"/>
                <w:numId w:val="1"/>
              </w:numPr>
              <w:spacing w:line="300" w:lineRule="exact"/>
              <w:jc w:val="left"/>
              <w:rPr>
                <w:rFonts w:hint="eastAsia"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负责与相关主管部门进行技术衔接和协调；</w:t>
            </w:r>
          </w:p>
          <w:p>
            <w:pPr>
              <w:widowControl/>
              <w:numPr>
                <w:ilvl w:val="0"/>
                <w:numId w:val="1"/>
              </w:numPr>
              <w:spacing w:line="300" w:lineRule="exact"/>
              <w:jc w:val="left"/>
              <w:rPr>
                <w:rFonts w:hint="eastAsia"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协助签订压覆矿产资源协议；</w:t>
            </w:r>
          </w:p>
          <w:p>
            <w:pPr>
              <w:pStyle w:val="4"/>
              <w:widowControl/>
              <w:spacing w:beforeAutospacing="0" w:after="210" w:afterAutospacing="0" w:line="23" w:lineRule="atLeast"/>
              <w:rPr>
                <w:rFonts w:hint="eastAsia" w:asciiTheme="minorEastAsia" w:hAnsiTheme="minorEastAsia" w:eastAsiaTheme="minorEastAsia" w:cstheme="minorEastAsia"/>
                <w:color w:val="auto"/>
                <w:lang w:bidi="ar"/>
              </w:rPr>
            </w:pPr>
          </w:p>
        </w:tc>
      </w:tr>
    </w:tbl>
    <w:p>
      <w:pPr>
        <w:spacing w:before="156" w:line="353" w:lineRule="auto"/>
        <w:ind w:left="39" w:right="96" w:firstLine="481"/>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（2）技术成果要求：符合国家、行业、地方规定相应的标准和规范要求。</w:t>
      </w:r>
    </w:p>
    <w:p>
      <w:pPr>
        <w:overflowPunct w:val="0"/>
        <w:spacing w:line="520" w:lineRule="exact"/>
        <w:ind w:right="73" w:rightChars="35" w:firstLine="240" w:firstLineChars="10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三、其他</w:t>
      </w:r>
    </w:p>
    <w:p>
      <w:pPr>
        <w:spacing w:line="360" w:lineRule="auto"/>
        <w:ind w:firstLine="480" w:firstLineChars="200"/>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（1）本项目服务内容及成果应遵守国家有关法律法规及本项目的有关要求。</w:t>
      </w:r>
    </w:p>
    <w:p>
      <w:pPr>
        <w:spacing w:line="360" w:lineRule="auto"/>
        <w:ind w:firstLine="480" w:firstLineChars="200"/>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供应商在其工作范围内应确保其独立准备的全部技术资料文件在中国境内外都没有且也不会侵犯任何第三方的知识产权（包括但不限于著作权、商标权、专利权）或专有技术或商业秘密；供应商如果在其技术资料文件中使用或包含任何其他人的知识产权或专有技术或商业秘密，应保证已经获得权利人的合法、有效、充分的授权；采购人拥有中标人所提交的全部技术资料文件的使用权和受益权，并使用于本次项目。</w:t>
      </w:r>
    </w:p>
    <w:p>
      <w:pPr>
        <w:spacing w:line="360" w:lineRule="auto"/>
        <w:ind w:firstLine="480" w:firstLineChars="200"/>
        <w:rPr>
          <w:rFonts w:hint="eastAsia"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（3）完成时限，20日历天。</w:t>
      </w:r>
      <w:bookmarkStart w:id="0" w:name="_GoBack"/>
      <w:bookmarkEnd w:id="0"/>
    </w:p>
    <w:p>
      <w:pPr>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lang w:bidi="ar"/>
        </w:rPr>
        <w:t>（4）未尽事宜按有关规定执行。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76ED3B"/>
    <w:multiLevelType w:val="singleLevel"/>
    <w:tmpl w:val="7076ED3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7F8"/>
    <w:rsid w:val="004B450C"/>
    <w:rsid w:val="005E1D7A"/>
    <w:rsid w:val="006156BE"/>
    <w:rsid w:val="006564FB"/>
    <w:rsid w:val="00817E43"/>
    <w:rsid w:val="008457F8"/>
    <w:rsid w:val="00A30CEA"/>
    <w:rsid w:val="00C95B4D"/>
    <w:rsid w:val="00FD030A"/>
    <w:rsid w:val="5FFEA08D"/>
    <w:rsid w:val="7D7FE07C"/>
    <w:rsid w:val="BCEBE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customStyle="1" w:styleId="10">
    <w:name w:val="Normal_15"/>
    <w:qFormat/>
    <w:uiPriority w:val="0"/>
    <w:pPr>
      <w:spacing w:before="120" w:after="240"/>
      <w:jc w:val="both"/>
    </w:pPr>
    <w:rPr>
      <w:rFonts w:ascii="Times New Roman" w:hAnsi="Times New Roman"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Words>
  <Characters>653</Characters>
  <Lines>5</Lines>
  <Paragraphs>1</Paragraphs>
  <TotalTime>9</TotalTime>
  <ScaleCrop>false</ScaleCrop>
  <LinksUpToDate>false</LinksUpToDate>
  <CharactersWithSpaces>766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2024-01-03T06:01:00Z</dcterms:created>
  <dc:creator>依然斐</dc:creator>
  <cp:lastModifiedBy>huanghe</cp:lastModifiedBy>
  <dcterms:modified xsi:type="dcterms:W3CDTF">2024-10-17T09:34:14Z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